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5B" w:rsidRPr="002D4B63" w:rsidRDefault="0057533F" w:rsidP="002D4B63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Методика</w:t>
      </w:r>
    </w:p>
    <w:p w:rsidR="0089175B" w:rsidRPr="002D4B63" w:rsidRDefault="0057533F" w:rsidP="002D4B63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распределения субвенций, предоставляемых местным бюджетам за счет субвенций областному бюджету Ленинградской области из федерального бюджета, а также дополнительных средств, предусмотренных в областном бюджете Ленинградской области,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</w:t>
      </w:r>
    </w:p>
    <w:p w:rsidR="0089175B" w:rsidRPr="002D4B63" w:rsidRDefault="0089175B" w:rsidP="002D4B63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1. Общий объем субвенций, предоставляемых местным бюджетам за счет субвенций областному бюджету Ленинградской области из федерального бюджета, а также дополнительных средств, предусмотренных в областном бюджете Ленинградской области,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определяется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V = F + H,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где F - размер средств, предоставляемых местным бюджетам за счет субвенции, выделенной областному бюджету Ленинградской области из федерального бюджета,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H - размер дополнительных средств, предусмотренных в областном бюджете Ленинградской области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Размер средств, предоставляемых местным бюджетам за счет субвенции, выделенной областному бюджету Ленинградской области из федерального бюджета на осуществление отдельных государственных полномочий Российской Федерации в сфере государственной регистрации актов гражданского состояния, определяется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F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V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fb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A - B,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V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fb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выделенной областному бюджету Ленинградской области из федерального бюджета на соответствующий год;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A - расходы уполномоченного органа исполнительной власти Ленинградской области в сфере государственной регистрации актов гражданского состояния на приобретение бланков свидетельств о государственной регистрации актов гражданского состояния в порядке, установленном </w:t>
      </w:r>
      <w:hyperlink r:id="rId7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2D4B6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4 октября 2018 года N 1191 "Об утверждении Правил изготовления бланков свидетельств о государственной регистрации актов гражданского состояния, их приобретения, учета и уничтожения поврежденных бланков свидетельств о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актов гражданского состояния" (далее - расходы на приобретение бланков свидетельств о государственной регистрации актов гражданского состояния);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B - расходы, осуществляемые за счет средств федерального бюджета, связанные с финансовым обеспечением возложенных на государственное бюджетное учреждение Ленинградской области "Многофункциональный центр предоставления государственных и муниципальных услуг"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в соответствии с областным </w:t>
      </w:r>
      <w:hyperlink r:id="rId8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от 12 июля 2019 года N 60-оз "О возложении на государственное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бюджетное учреждение Ленинградской области "Многофункциональный центр предоставления государственных и муниципальных услуг"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состояния" (далее - областной закон N 60-оз, расходы, связанные с финансовым обеспечением возложенных на ГБУ ЛО "МФЦ" отдельных государственных полномочий в соответствии с областным </w:t>
      </w:r>
      <w:hyperlink r:id="rId9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60-оз).</w:t>
      </w:r>
      <w:proofErr w:type="gramEnd"/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2. Расходы на приобретение бланков свидетельств о государственной регистрации актов гражданского состояния определяются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A = P x Q,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где P - средняя стоимость изготовления одного бланка свидетельства о государственной регистрации акта гражданского состояния, определяемая как средняя стоимость изготовления каждой формы бланков свидетельств о государственной регистрации актов гражданского состояния от стоимости, установленной организацией, уполномоченной Правительством Российской Федерации в соответствии с </w:t>
      </w:r>
      <w:hyperlink r:id="rId10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8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Федерального закона от 15 ноября 1997 года N 143-ФЗ "Об актах гражданского состояния";</w:t>
      </w:r>
      <w:proofErr w:type="gramEnd"/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Q - количество бланков свидетельств о государственной регистрации актов гражданского состояния на очередной финансовый год, определяемое в соответствии с заявками муниципальных образований Ленинградской области.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Остаток средств, образовавшийся в результате приобретения бланков свидетельств о государственной регистрации актов гражданского состояния в соответствии с </w:t>
      </w:r>
      <w:hyperlink r:id="rId11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пунктом 6 части 1 статьи 93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подлежит распределению между муниципальными образованиями Ленинградской области пропорционально распределению размера субвенции, предоставляемой местным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Pr="002D4B63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3. Расходы, осуществляемые за счет средств федерального бюджета, связанные с финансовым обеспечением возложенных на ГБУ ЛО "МФЦ" отдельных государственных полномочий в соответствии с областным </w:t>
      </w:r>
      <w:hyperlink r:id="rId12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60-оз, определяются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45B60961" wp14:editId="7392BB08">
            <wp:extent cx="1492250" cy="2768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труда работников 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осуществляющих обеспечение возложенных на ГБУ ЛО "МФЦ" отдельных государственных полномочий в соответствии с областным </w:t>
      </w:r>
      <w:hyperlink r:id="rId14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60-оз, кроме обслуживающего персонала;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труда обслуживающего персонала 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М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- прочие расходы 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 на осуществление отдельных государственных полномочий в соответствии с областным </w:t>
      </w:r>
      <w:hyperlink r:id="rId15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Расчет показателей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М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зi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w:anchor="P257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пунктами 5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9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6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Общий размер расходов, связанных с финансовым обеспечением возложенных на ГБУ ЛО "МФЦ" отдельных государственных полномочий в соответствии с областным </w:t>
      </w:r>
      <w:hyperlink r:id="rId16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60-оз, определяется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В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 = В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+ Н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>где H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D4B63">
        <w:rPr>
          <w:rFonts w:ascii="Times New Roman" w:hAnsi="Times New Roman" w:cs="Times New Roman"/>
          <w:sz w:val="28"/>
          <w:szCs w:val="28"/>
        </w:rPr>
        <w:t xml:space="preserve"> - размер дополнительных средств, предусмотренных в областном бюджете Ленинградской области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рассчитанный исходя из нормативной численности работников 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осуществляющих обеспечение возложенных на ГБУ ЛО "МФЦ" отдельных государственных полномочий в соответствии с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областным </w:t>
      </w:r>
      <w:hyperlink r:id="rId17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N 60-оз.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4. Размер дополнительных средств, предусмотренных в областном бюджете Ленинградской области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определяется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5F1E1837" wp14:editId="2093EEFE">
            <wp:extent cx="1771015" cy="2832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D4B63">
        <w:rPr>
          <w:rFonts w:ascii="Times New Roman" w:hAnsi="Times New Roman" w:cs="Times New Roman"/>
          <w:sz w:val="28"/>
          <w:szCs w:val="28"/>
        </w:rPr>
        <w:lastRenderedPageBreak/>
        <w:t xml:space="preserve">где К - расходы областного бюджета Ленинградской области на финансовое обеспечение оплаты труда работника органа записи актов гражданского состояния в объеме, не превышающем размера должностного оклада на планируемый год по должности "специалист первой категории" старшей группы должностей государственной гражданской службы Ленинградской области категории "специалисты" в соответствии с областным </w:t>
      </w:r>
      <w:hyperlink r:id="rId19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области", с учетом страховых взносов;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D4B63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нiмо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нормативная численность работников органов записи актов гражданского состояния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кроме обслуживающего персонала (далее также - работники);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>труда работников органов записи актов гражданского состояния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кроме обслуживающего персонала.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= D x L,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где D - размер должностного оклада на планируемый год по должности "специалист первой категории" старшей группы должностей государственной гражданской службы Ленинградской области категории специалисты в соответствии с областным </w:t>
      </w:r>
      <w:hyperlink r:id="rId20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гражданских служащих Ленинградской области";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L - количество должностных окладов в год на одного специалиста, предусматриваемое при формировании фонда оплаты труда (L = 42,5).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6444729" wp14:editId="646AD545">
            <wp:extent cx="2363470" cy="2768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7"/>
      <w:bookmarkEnd w:id="1"/>
      <w:r w:rsidRPr="002D4B63">
        <w:rPr>
          <w:rFonts w:ascii="Times New Roman" w:hAnsi="Times New Roman" w:cs="Times New Roman"/>
          <w:sz w:val="28"/>
          <w:szCs w:val="28"/>
        </w:rPr>
        <w:t>5. Расходы на оплату труда работников определяются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S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S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труда одного работника, которые рассчитываются исходя из должностного оклада главного специалиста-эксперта, установленного в </w:t>
      </w:r>
      <w:hyperlink r:id="rId22">
        <w:r w:rsidRPr="002D4B63">
          <w:rPr>
            <w:rFonts w:ascii="Times New Roman" w:hAnsi="Times New Roman" w:cs="Times New Roman"/>
            <w:color w:val="0000FF"/>
            <w:sz w:val="28"/>
            <w:szCs w:val="28"/>
          </w:rPr>
          <w:t>разделе 5</w:t>
        </w:r>
      </w:hyperlink>
      <w:r w:rsidRPr="002D4B63">
        <w:rPr>
          <w:rFonts w:ascii="Times New Roman" w:hAnsi="Times New Roman" w:cs="Times New Roman"/>
          <w:sz w:val="28"/>
          <w:szCs w:val="28"/>
        </w:rPr>
        <w:t xml:space="preserve"> приложения N 1 к Указу Президента Российской Федерации от 25 июля 2006 года N 763 "О денежном содержании федеральных государственных гражданских служащих", за отчетный период (с учетом индексации на федеральном уровне), коэффициента, используемого для расчета средней заработной платы государственных гражданских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служащих Российской Федерации и содержащего дополнительные выплаты, районного коэффициента и страховых взносов;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lastRenderedPageBreak/>
        <w:t>Q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нормативная численность работников.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6. Нормативная численность работников определяется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Т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Т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x К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Т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общее время, необходимое для совершения всего количества актов гражданского состояния и иных юридически значимых действий, рассчитываемое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по каждому виду действий (структурного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области);</w:t>
      </w:r>
      <w:proofErr w:type="gramEnd"/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Т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норматив рабочего времени в году, который составляет 1980 часов (247,5 рабочего дня в году x 8 рабочих часов в день);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К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2D4B63">
        <w:rPr>
          <w:rFonts w:ascii="Times New Roman" w:hAnsi="Times New Roman" w:cs="Times New Roman"/>
          <w:sz w:val="28"/>
          <w:szCs w:val="28"/>
        </w:rPr>
        <w:t xml:space="preserve"> - коэффициент расселения.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7. Коэффициент расселения определяется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К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2D4B6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+ 1) / (И + 1),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- удельный вес населения, проживающего в населенных пунктах с численностью населения до 500 человек, в общей численности постоянного населения муниципального образования Ленинградской области на конец последнего отчетного года по данным территориального органа статистики;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И - удельный вес населения, проживающего в населенных пунктах с численностью населения до 500 человек, в общей численности постоянного населения в среднем по всем муниципальным образованиям Ленинградской области на конец последнего отчетного года.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79"/>
      <w:bookmarkEnd w:id="2"/>
      <w:r w:rsidRPr="002D4B63">
        <w:rPr>
          <w:rFonts w:ascii="Times New Roman" w:hAnsi="Times New Roman" w:cs="Times New Roman"/>
          <w:sz w:val="28"/>
          <w:szCs w:val="28"/>
        </w:rPr>
        <w:t>8. Расходы на оплату труда обслуживающего персонала определяются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S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S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труда одного лица обслуживающего персонала, рассчитываемые исходя из минимального размера оплаты труда и страховых взносов;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численность обслуживающего персонала, рассчитываемая исходя из средней фактической численности обслуживающего персонала в нормативной численности работников (органа ЗАГС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структурного подразделения ГБУ ЛО "МФЦ"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области).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6"/>
      <w:bookmarkEnd w:id="3"/>
      <w:r w:rsidRPr="002D4B63">
        <w:rPr>
          <w:rFonts w:ascii="Times New Roman" w:hAnsi="Times New Roman" w:cs="Times New Roman"/>
          <w:sz w:val="28"/>
          <w:szCs w:val="28"/>
        </w:rPr>
        <w:t xml:space="preserve">9. Прочие расходы на осуществление государственных полномочий Российской Федерации, переданных органам государственной власти Ленинградской области, в </w:t>
      </w:r>
      <w:r w:rsidRPr="002D4B63">
        <w:rPr>
          <w:rFonts w:ascii="Times New Roman" w:hAnsi="Times New Roman" w:cs="Times New Roman"/>
          <w:sz w:val="28"/>
          <w:szCs w:val="28"/>
        </w:rPr>
        <w:lastRenderedPageBreak/>
        <w:t>сфере государственной регистрации актов гражданского состояния определяются по формуле:</w:t>
      </w: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M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зi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) x 0,2.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>10. Размер субвенций, предусмотренных бюджету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 на осуществление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определяется по формуле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V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F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H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F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 за счет субвенций областному бюджету Ленинградской области из федерального бюджета,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H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размер дополнительных средств, предусмотренных в областном бюджете Ленинградской области на осуществление отдельных государственных полномочий Российской Федерации, переданных органам государственной власти Ленинградской области, в сфере государственной регистрации актов гражданского состояния, для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При этом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F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oi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M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зi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>труда работников органов записи актов гражданского состояния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кроме обслуживающего персонала;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Z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oi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расходы на оплату 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>труда обслуживающего персонала органов записи актов гражданского состояния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области;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B63">
        <w:rPr>
          <w:rFonts w:ascii="Times New Roman" w:hAnsi="Times New Roman" w:cs="Times New Roman"/>
          <w:sz w:val="28"/>
          <w:szCs w:val="28"/>
        </w:rPr>
        <w:t>M</w:t>
      </w:r>
      <w:proofErr w:type="gramStart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прочие расходы на осуществление государственных полномочий Российской Федерации, переданных, органам государственной власти Ленинградской области, в сфере государственной регистрации актов гражданского состояния.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При этом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H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= H /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2D4B63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нiмо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>,</w:t>
      </w: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4B63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B6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Q</w:t>
      </w:r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нормативная численность </w:t>
      </w:r>
      <w:proofErr w:type="gramStart"/>
      <w:r w:rsidRPr="002D4B63">
        <w:rPr>
          <w:rFonts w:ascii="Times New Roman" w:hAnsi="Times New Roman" w:cs="Times New Roman"/>
          <w:sz w:val="28"/>
          <w:szCs w:val="28"/>
        </w:rPr>
        <w:t>работников органов записи актов гражданского состояния муниципальных образований Ленинградской</w:t>
      </w:r>
      <w:proofErr w:type="gramEnd"/>
      <w:r w:rsidRPr="002D4B63">
        <w:rPr>
          <w:rFonts w:ascii="Times New Roman" w:hAnsi="Times New Roman" w:cs="Times New Roman"/>
          <w:sz w:val="28"/>
          <w:szCs w:val="28"/>
        </w:rPr>
        <w:t xml:space="preserve"> области, кроме обслуживающего персонала;</w:t>
      </w:r>
    </w:p>
    <w:p w:rsidR="0089175B" w:rsidRPr="002D4B63" w:rsidRDefault="002D4B63" w:rsidP="002D4B63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D4B63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2D4B63">
        <w:rPr>
          <w:rFonts w:ascii="Times New Roman" w:hAnsi="Times New Roman" w:cs="Times New Roman"/>
          <w:sz w:val="28"/>
          <w:szCs w:val="28"/>
          <w:vertAlign w:val="subscript"/>
        </w:rPr>
        <w:t>нiмо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- нормативная численность работников органов записи актов гражданского состояния i-</w:t>
      </w:r>
      <w:proofErr w:type="spellStart"/>
      <w:r w:rsidRPr="002D4B6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D4B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Ленинградской области, кроме обслуживающего персонала.</w:t>
      </w:r>
    </w:p>
    <w:sectPr w:rsidR="0089175B" w:rsidRPr="002D4B63" w:rsidSect="0057533F">
      <w:pgSz w:w="11906" w:h="16838"/>
      <w:pgMar w:top="1134" w:right="567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3A" w:rsidRDefault="002A0C3A">
      <w:r>
        <w:separator/>
      </w:r>
    </w:p>
  </w:endnote>
  <w:endnote w:type="continuationSeparator" w:id="0">
    <w:p w:rsidR="002A0C3A" w:rsidRDefault="002A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3A" w:rsidRDefault="002A0C3A">
      <w:r>
        <w:separator/>
      </w:r>
    </w:p>
  </w:footnote>
  <w:footnote w:type="continuationSeparator" w:id="0">
    <w:p w:rsidR="002A0C3A" w:rsidRDefault="002A0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75B"/>
    <w:rsid w:val="00147C83"/>
    <w:rsid w:val="002A0C3A"/>
    <w:rsid w:val="002D4B63"/>
    <w:rsid w:val="00304FCF"/>
    <w:rsid w:val="00555647"/>
    <w:rsid w:val="0057533F"/>
    <w:rsid w:val="0089175B"/>
    <w:rsid w:val="00D7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556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64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5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533F"/>
  </w:style>
  <w:style w:type="paragraph" w:styleId="a7">
    <w:name w:val="footer"/>
    <w:basedOn w:val="a"/>
    <w:link w:val="a8"/>
    <w:uiPriority w:val="99"/>
    <w:unhideWhenUsed/>
    <w:rsid w:val="00575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5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14636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2.wmf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hyperlink" Target="https://login.consultant.ru/link/?req=doc&amp;base=LAW&amp;n=397374" TargetMode="External"/><Relationship Id="rId12" Type="http://schemas.openxmlformats.org/officeDocument/2006/relationships/hyperlink" Target="https://login.consultant.ru/link/?req=doc&amp;base=SPB&amp;n=214636" TargetMode="External"/><Relationship Id="rId17" Type="http://schemas.openxmlformats.org/officeDocument/2006/relationships/hyperlink" Target="https://login.consultant.ru/link/?req=doc&amp;base=SPB&amp;n=2146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14636" TargetMode="External"/><Relationship Id="rId20" Type="http://schemas.openxmlformats.org/officeDocument/2006/relationships/hyperlink" Target="https://login.consultant.ru/link/?req=doc&amp;base=SPB&amp;n=28137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0824&amp;dst=1218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SPB&amp;n=2146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1735&amp;dst=322" TargetMode="External"/><Relationship Id="rId19" Type="http://schemas.openxmlformats.org/officeDocument/2006/relationships/hyperlink" Target="https://login.consultant.ru/link/?req=doc&amp;base=SPB&amp;n=2813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14636" TargetMode="External"/><Relationship Id="rId14" Type="http://schemas.openxmlformats.org/officeDocument/2006/relationships/hyperlink" Target="https://login.consultant.ru/link/?req=doc&amp;base=SPB&amp;n=214636" TargetMode="External"/><Relationship Id="rId22" Type="http://schemas.openxmlformats.org/officeDocument/2006/relationships/hyperlink" Target="https://login.consultant.ru/link/?req=doc&amp;base=LAW&amp;n=482312&amp;dst=2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2318</Words>
  <Characters>13217</Characters>
  <Application>Microsoft Office Word</Application>
  <DocSecurity>0</DocSecurity>
  <Lines>110</Lines>
  <Paragraphs>31</Paragraphs>
  <ScaleCrop>false</ScaleCrop>
  <Company>КонсультантПлюс Версия 4023.00.09</Company>
  <LinksUpToDate>false</LinksUpToDate>
  <CharactersWithSpaces>15504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Областной закон Ленинградской области от 08.12.2005 N 112-оз
(ред. от 13.07.2023)
"О наделении органов местного самоуправления муниципальных образований Ленинградской области отдельными государственными полномочиями Российской Федерации, переданными органам государственной власти Ленинградской области, в сфере государственной регистрации актов гражданского состояния"
(принят ЗС ЛО 23.11.2005)</dc:title>
  <cp:lastModifiedBy>Старостина Рузанна Левоновна</cp:lastModifiedBy>
  <cp:revision>5</cp:revision>
  <dcterms:created xsi:type="dcterms:W3CDTF">2023-08-04T13:49:00Z</dcterms:created>
  <dcterms:modified xsi:type="dcterms:W3CDTF">2024-08-26T08:37:00Z</dcterms:modified>
</cp:coreProperties>
</file>