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/>
          <w:bCs/>
          <w:sz w:val="28"/>
          <w:szCs w:val="28"/>
        </w:rPr>
        <w:t>Порядок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/>
          <w:bCs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предоставление частичной компенсации стоимости путевок в муниципальные организации отдыха детей и их оздоровления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1. Общие положения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1.1.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Настоящий Порядок устанавливает цели, условия предоставления и распределения субсидии из областного бюджета Ленинградской области (далее - областной бюджет) бюджетам муниципальных районов (городского округа) Ленинградской области (далее - муниципальные образования) на предоставление частичной компенсации стоимости путевок в муниципальные организации отдыха детей и их оздоровления в рамках государственной программы Ленинградской области "Современное образование Ленинградской области" (далее - субсидия).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</w:t>
      </w:r>
      <w:bookmarkStart w:id="0" w:name="_GoBack"/>
      <w:bookmarkEnd w:id="0"/>
      <w:r w:rsidRPr="00260FA6">
        <w:rPr>
          <w:rFonts w:ascii="Times New Roman" w:eastAsiaTheme="minorHAnsi" w:hAnsi="Times New Roman"/>
          <w:bCs/>
          <w:sz w:val="28"/>
          <w:szCs w:val="28"/>
        </w:rPr>
        <w:t>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1.3.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Субсидия предоставляется на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софинансирование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расходных обязательств муниципальных образований, возникающих при осуществлении полномочий органов местного самоуправления по вопросам местного значения в соответствии с </w:t>
      </w:r>
      <w:hyperlink r:id="rId5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11 части 1 статьи 15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6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13 части 1 статьи 16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муниципальным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образованиям, критерии отбора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муниципальных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образований для предоставления субсидии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2.1. Субсидия предоставляется в целях увеличения охвата детей отдыхом и их оздоровления.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Субсидия направляется в муниципальные образования для предоставления частичной компенсации стоимости путевок в муниципальные организации отдыха детей и их оздоровления сезонного действия и круглогодичного действия, лагеря, организованные образовательными организациями, осуществляющими организацию отдыха и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оздоровления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обучающихся в каникулярное время с круглосуточным пребыванием, данного муниципального образования (далее - муниципальные организации отдыха детей и их оздоровления) гражданам, состоящим в трудовых отношениях с организациями независимо от организационно-правовых форм и форм собственности.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lastRenderedPageBreak/>
        <w:t>Частичная компенсация стоимости путевок в муниципальные организации отдыха детей и их оздоровления предоставляется в соответствии с Порядком, утвержденным нормативным правовым актом муниципального образования.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Порядок предоставления частичной компенсации стоимости путевок в муниципальные организации отдыха детей и их оздоровления разрабатывается с учетом методических рекомендаций, утвержденных правовым актом Комитета.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Результатами использования субсидии являются: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количество путевок в организации отдыха детей сезонного действия или круглогодичного действия, зарегистрированные на территории Ленинградской области;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количество упаковок для проведения C-витаминизации третьих блюд в оздоровительных лагерях всех типов и видов.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7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2.7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 w:rsidRPr="00260FA6">
        <w:rPr>
          <w:rFonts w:ascii="Times New Roman" w:eastAsiaTheme="minorHAnsi" w:hAnsi="Times New Roman"/>
          <w:bCs/>
          <w:sz w:val="28"/>
          <w:szCs w:val="28"/>
        </w:rPr>
        <w:t>№</w:t>
      </w: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257 (далее - Правила).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2.3.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</w:t>
      </w:r>
      <w:hyperlink r:id="rId8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пунктами 4.1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9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4.2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" w:name="Par28"/>
      <w:bookmarkEnd w:id="1"/>
      <w:r w:rsidRPr="00260FA6">
        <w:rPr>
          <w:rFonts w:ascii="Times New Roman" w:eastAsiaTheme="minorHAnsi" w:hAnsi="Times New Roman"/>
          <w:bCs/>
          <w:sz w:val="28"/>
          <w:szCs w:val="28"/>
        </w:rPr>
        <w:t>2.4. Критериями, которым должны соответствовать муниципальные образования для предоставления субсидии, являются: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наличие муниципальных организаций отдыха детей и их оздоровления;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наличие детей, нуждающихся в отдыхе в муниципальных организациях отдыха детей и их оздоровления;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наличие муниципальной программы, включающей мероприятия по организации отдыха детей сезонного или круглосуточного действия.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3. Порядок распределения субсидии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2" w:name="Par35"/>
      <w:bookmarkEnd w:id="2"/>
      <w:r w:rsidRPr="00260FA6">
        <w:rPr>
          <w:rFonts w:ascii="Times New Roman" w:eastAsiaTheme="minorHAnsi" w:hAnsi="Times New Roman"/>
          <w:bCs/>
          <w:sz w:val="28"/>
          <w:szCs w:val="28"/>
        </w:rPr>
        <w:t>3.1. Комитет не менее чем за 10 рабочих дней до начала приема заявок информирует в письменном виде администрации муниципальных образований о сроках приема заявок на предоставление субсидии (далее - заявка).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3" w:name="Par36"/>
      <w:bookmarkEnd w:id="3"/>
      <w:r w:rsidRPr="00260FA6">
        <w:rPr>
          <w:rFonts w:ascii="Times New Roman" w:eastAsiaTheme="minorHAnsi" w:hAnsi="Times New Roman"/>
          <w:bCs/>
          <w:sz w:val="28"/>
          <w:szCs w:val="28"/>
        </w:rPr>
        <w:t>Даты начала и окончания приема заявок устанавливаются правовым актом Комитета.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Муниципальные образования в установленные сроки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расчет размера субсидии по форме, утвержденной правовым актом Комитета;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копия правового акта муниципального образования, утверждающего перечень мероприятий, в целях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которых предоставляется субсидия, за подписью руководителя муниципального органа управления образованием.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3.2. Комитет в течение трех рабочих дней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заявки осуществляет проверку заявки на соответствие </w:t>
      </w:r>
      <w:hyperlink w:anchor="Par35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пункту 3.1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Комитета могут быть устранены в пределах срока, определяемого в соответствии с </w:t>
      </w:r>
      <w:hyperlink w:anchor="Par35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3.1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4" w:name="Par42"/>
      <w:bookmarkEnd w:id="4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с даты окончания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приема заявок, установленной в соответствии с </w:t>
      </w:r>
      <w:hyperlink w:anchor="Par36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абзацем вторым пункта 3.1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критерию отбора, установленному </w:t>
      </w:r>
      <w:hyperlink w:anchor="Par28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2.4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3.4. Отбор муниципальных образований для предоставления субсидии осуществляется на очередной финансовый год и на плановый период.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3.5. Комитет на основании решения, принимаемого в соответствии с </w:t>
      </w:r>
      <w:hyperlink w:anchor="Par42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3.3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3.6. Распределение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субсидии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формуле: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=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РОС</w:t>
      </w:r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x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УС</w:t>
      </w:r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- объем субсидии бюджету i-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УС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- предельный уровень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для i-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образования, устанавливаемый распоряжением Правительства Ленинградской области;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РОС</w:t>
      </w:r>
      <w:r w:rsidRPr="00260FA6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= </w:t>
      </w:r>
      <w:proofErr w:type="spellStart"/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C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>д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x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Nri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x k,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C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>д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- стоимость путевки, утвержденная постановлением Правительства Ленинградской области;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Nri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- количество детей школьного возраста от шести до 17 лет (включительно) работающих родителей, которых планируется направить на отдых в каникулярное время в i-м муниципальном образовании;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k - доля частичной оплаты расчетной стоимости путевки в организации отдыха детей сезонного действия или круглогодичного действия Ленинградской области за счет средств областного бюджета Ленинградской области работающим гражданам по трудовому договору (служебному контракту) в организациях независимо от организационно-правовых форм и форм собственности, определяемой постановлением Правительства Ленинградской области.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3.7.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 Ленинградской области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3.8.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0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3.4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3.9. Утвержденный для муниципального образования объем субсидии может быть пересмотрен: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при уточнении планового общего объема расходов, необходимого для достижения значений результатов использования субсидии;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при увеличении общего объема бюджетных ассигнований областного бюджета Ленинградской области, предусмотренного для предоставления субсидии;</w:t>
      </w:r>
      <w:proofErr w:type="gramEnd"/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без внесения изменений в областной закон об областном бюджете Ленинградской области на текущий финансовый год и на плановый период в случаях, предусмотренных </w:t>
      </w:r>
      <w:hyperlink r:id="rId11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пунктами 5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12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6 статьи 9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областного закона от 14 октября 2019 года </w:t>
      </w:r>
      <w:r w:rsidR="00EB42BC">
        <w:rPr>
          <w:rFonts w:ascii="Times New Roman" w:eastAsiaTheme="minorHAnsi" w:hAnsi="Times New Roman"/>
          <w:bCs/>
          <w:sz w:val="28"/>
          <w:szCs w:val="28"/>
        </w:rPr>
        <w:t>№</w:t>
      </w: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75-оз "О межбюджетных отношениях в Ленинградской области".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 Порядок расходования субсидии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4.1. Предоставление субсидии осуществляется на основании соглашения.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Соглашение заключается на основании утвержденного распределения субсидии между муниципальными образованиями в срок, установленный </w:t>
      </w:r>
      <w:hyperlink r:id="rId13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4.3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14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пунктом 4.4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lastRenderedPageBreak/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устанавливается в соглашении.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4.4. Средства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предоставленных в отчетном году, допускается однократно в течение срока действия соглашения.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260FA6">
        <w:rPr>
          <w:rFonts w:ascii="Times New Roman" w:eastAsiaTheme="minorHAnsi" w:hAnsi="Times New Roman"/>
          <w:bCs/>
          <w:sz w:val="28"/>
          <w:szCs w:val="28"/>
        </w:rPr>
        <w:t>Контроль за</w:t>
      </w:r>
      <w:proofErr w:type="gram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260FA6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AA281B" w:rsidRPr="00260FA6" w:rsidRDefault="00260FA6" w:rsidP="00260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</w:rPr>
      </w:pPr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4.8. В случае </w:t>
      </w:r>
      <w:proofErr w:type="spellStart"/>
      <w:r w:rsidRPr="00260FA6">
        <w:rPr>
          <w:rFonts w:ascii="Times New Roman" w:eastAsiaTheme="minorHAnsi" w:hAnsi="Times New Roman"/>
          <w:bCs/>
          <w:sz w:val="28"/>
          <w:szCs w:val="28"/>
        </w:rPr>
        <w:t>недостижения</w:t>
      </w:r>
      <w:proofErr w:type="spellEnd"/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5" w:history="1">
        <w:r w:rsidRPr="00260FA6">
          <w:rPr>
            <w:rFonts w:ascii="Times New Roman" w:eastAsiaTheme="minorHAnsi" w:hAnsi="Times New Roman"/>
            <w:bCs/>
            <w:sz w:val="28"/>
            <w:szCs w:val="28"/>
          </w:rPr>
          <w:t>разделом 5</w:t>
        </w:r>
      </w:hyperlink>
      <w:r w:rsidRPr="00260FA6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sectPr w:rsidR="00AA281B" w:rsidRPr="00260FA6" w:rsidSect="00614021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09"/>
    <w:rsid w:val="00260FA6"/>
    <w:rsid w:val="0044421B"/>
    <w:rsid w:val="00913D1B"/>
    <w:rsid w:val="00AA281B"/>
    <w:rsid w:val="00D14509"/>
    <w:rsid w:val="00D37CB0"/>
    <w:rsid w:val="00EB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0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4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4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0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4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4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636" TargetMode="External"/><Relationship Id="rId13" Type="http://schemas.openxmlformats.org/officeDocument/2006/relationships/hyperlink" Target="https://login.consultant.ru/link/?req=doc&amp;base=SPB&amp;n=282998&amp;dst=1006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hyperlink" Target="https://login.consultant.ru/link/?req=doc&amp;base=SPB&amp;n=294936&amp;dst=10008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10" TargetMode="External"/><Relationship Id="rId11" Type="http://schemas.openxmlformats.org/officeDocument/2006/relationships/hyperlink" Target="https://login.consultant.ru/link/?req=doc&amp;base=SPB&amp;n=294936&amp;dst=100079" TargetMode="External"/><Relationship Id="rId5" Type="http://schemas.openxmlformats.org/officeDocument/2006/relationships/hyperlink" Target="https://login.consultant.ru/link/?req=doc&amp;base=LAW&amp;n=483062&amp;dst=101309" TargetMode="External"/><Relationship Id="rId15" Type="http://schemas.openxmlformats.org/officeDocument/2006/relationships/hyperlink" Target="https://login.consultant.ru/link/?req=doc&amp;base=SPB&amp;n=282998&amp;dst=100547" TargetMode="External"/><Relationship Id="rId10" Type="http://schemas.openxmlformats.org/officeDocument/2006/relationships/hyperlink" Target="https://login.consultant.ru/link/?req=doc&amp;base=SPB&amp;n=282998&amp;dst=100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23" TargetMode="External"/><Relationship Id="rId14" Type="http://schemas.openxmlformats.org/officeDocument/2006/relationships/hyperlink" Target="https://login.consultant.ru/link/?req=doc&amp;base=SPB&amp;n=282998&amp;dst=100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6</cp:revision>
  <dcterms:created xsi:type="dcterms:W3CDTF">2021-07-26T08:11:00Z</dcterms:created>
  <dcterms:modified xsi:type="dcterms:W3CDTF">2024-08-26T12:20:00Z</dcterms:modified>
</cp:coreProperties>
</file>