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012" w:rsidRPr="006F4607" w:rsidRDefault="009D4E57" w:rsidP="006F46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4607">
        <w:rPr>
          <w:rFonts w:ascii="Times New Roman" w:hAnsi="Times New Roman" w:cs="Times New Roman"/>
          <w:sz w:val="28"/>
          <w:szCs w:val="28"/>
        </w:rPr>
        <w:t>Порядок</w:t>
      </w:r>
    </w:p>
    <w:p w:rsidR="00DF1012" w:rsidRPr="006F4607" w:rsidRDefault="009D4E57" w:rsidP="006F46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4607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субсидии из областного бюджета Ленинградской области бюджетам муниципальных образований Ленинградской области на поддержку развития общественной инфраструктуры муниципального значения</w:t>
      </w:r>
    </w:p>
    <w:p w:rsidR="007138CD" w:rsidRPr="006F4607" w:rsidRDefault="007138CD" w:rsidP="006F46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6C32" w:rsidRPr="006F4607" w:rsidRDefault="00126C32" w:rsidP="006F460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F4607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126C32" w:rsidRPr="006F4607" w:rsidRDefault="00126C32" w:rsidP="006F46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1.1. Настоящий Порядок устанавливает цели, условия и порядок предоставления и распределения субсидии из областного бюджета Ленинградской области (далее - областной бюджет) бюджетам муниципальных образований Ленинградской области (далее - муниципальные образования, субсидия) в рамках комплекса процессных мероприятий "Содействие участию населения в осуществлении местного самоуправления" государственной программы Ленинградской области "Устойчивое общественное развитие в Ленинградской области".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1.2. </w:t>
      </w:r>
      <w:proofErr w:type="gramStart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Субсидия предоставляется на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предложениях, направленных на развитие объектов общественной инфраструктуры муниципальных образований, в рамках решения вопросов местного значения, предусмотренных </w:t>
      </w:r>
      <w:hyperlink r:id="rId5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статьями 14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- </w:t>
      </w:r>
      <w:hyperlink r:id="rId6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16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</w:t>
      </w:r>
      <w:proofErr w:type="gramEnd"/>
      <w:r w:rsidRPr="006F4607">
        <w:rPr>
          <w:rFonts w:ascii="Times New Roman" w:hAnsi="Times New Roman" w:cs="Times New Roman"/>
          <w:bCs/>
          <w:sz w:val="28"/>
          <w:szCs w:val="28"/>
        </w:rPr>
        <w:t>".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1.3. </w:t>
      </w:r>
      <w:proofErr w:type="gramStart"/>
      <w:r w:rsidRPr="006F4607">
        <w:rPr>
          <w:rFonts w:ascii="Times New Roman" w:hAnsi="Times New Roman" w:cs="Times New Roman"/>
          <w:bCs/>
          <w:sz w:val="28"/>
          <w:szCs w:val="28"/>
        </w:rPr>
        <w:t>Субсидия предоставляется в соответствии со сводной бюджетной росписью областного бюджета Ленинградской области бюджетам муниципальных образований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финансов Ленинградской области (далее - Комитет), утвержденных областным законом об областном бюджете Ленинградской области на очередной (текущий) финансовый год и на плановый период.</w:t>
      </w:r>
      <w:proofErr w:type="gramEnd"/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2. Цели и условия предоставления субсидии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2.1. Субсидия предоставляется в целях реализации мероприятий, направленных на поддержку развития объектов общественной инфраструктуры, предназначенных для обеспечения жизнедеятельности населения в населенных пунктах и основанных на обращениях граждан, депутатов Законодательного собрания Ленинградской области (далее - мероприятия).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7"/>
      <w:bookmarkEnd w:id="0"/>
      <w:r w:rsidRPr="006F4607">
        <w:rPr>
          <w:rFonts w:ascii="Times New Roman" w:hAnsi="Times New Roman" w:cs="Times New Roman"/>
          <w:bCs/>
          <w:sz w:val="28"/>
          <w:szCs w:val="28"/>
        </w:rPr>
        <w:t>2.2. Субсидия предоставляется по следующим направлениям: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укрепление материально-технической базы муниципальных учреждений образования, культуры, физической культуры и спорта, молодежной политики и оздоровления детей (казенных, бюджетных, автономных), а также муниципальных организаций, оказывающих населению банные услуги: приобретение и установка оборудования и инвентаря, строительство и ремонт инженерных сетей, текущий и </w:t>
      </w:r>
      <w:r w:rsidRPr="006F4607">
        <w:rPr>
          <w:rFonts w:ascii="Times New Roman" w:hAnsi="Times New Roman" w:cs="Times New Roman"/>
          <w:bCs/>
          <w:sz w:val="28"/>
          <w:szCs w:val="28"/>
        </w:rPr>
        <w:lastRenderedPageBreak/>
        <w:t>капитальный ремонт (за исключением подготовки проектно-сметной документации), муниципальных организаций, предоставляющих услуги общественных туалетов: ремонт общественных туалетов, приобретение и установка туалетных</w:t>
      </w:r>
      <w:proofErr w:type="gram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модулей;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ремонт и благоустройство дворовых территорий многоквартирных домов;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текущий и капитальный ремонт воинских захоронений и памятников, увековечивающих память погибших при защите Отечества (включая благоустройство прилегающей к ним территории), расположенных на землях или земельных участках, находящихся в муниципальной собственности, или на землях или земельных участках, государственная собственность на которые не разграничена;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F4607">
        <w:rPr>
          <w:rFonts w:ascii="Times New Roman" w:hAnsi="Times New Roman" w:cs="Times New Roman"/>
          <w:bCs/>
          <w:sz w:val="28"/>
          <w:szCs w:val="28"/>
        </w:rPr>
        <w:t>освещение улично-дорожной сети, приобретение и установка детских игровых и спортивных комплексов, оборудование детских игровых и спортивных площадок, организация (оборудование, устройство, обустройство, благоустройство) велосипедных дорожек, организация (оборудование, устройство, обустройство, благоустройство) площадок для выгула и дрессировки домашних животных (собак) на землях или земельных участках, находящихся в муниципальной собственности, или на землях или земельных участках, государственная собственность на которые не разграничена;</w:t>
      </w:r>
      <w:proofErr w:type="gramEnd"/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проектирование и монтаж систем видеонаблюдения.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2.3. Каждое мероприятие, указанное в </w:t>
      </w:r>
      <w:hyperlink w:anchor="Par7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пункте 2.2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является отдельным счетным мероприятием.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Результатом использования субсидии является количество завершенных в отчетном году мероприятий.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Значение результата использования субсидии определяется в соответствии с заявкой муниципального образования по количеству мероприятий, включенных в заявку на предоставление субсидии, и устанавливается в соглашении о предоставлении субсидии, заключаемом между Комитетом и администрацией муниципального образования (далее - заявка, соглашение).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2.4. Условия предоставления субсидии устанавливаются в соответствии с </w:t>
      </w:r>
      <w:hyperlink r:id="rId7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пунктом 2.7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N 257 (далее - Правила).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" w:name="Par18"/>
      <w:bookmarkEnd w:id="1"/>
      <w:r w:rsidRPr="006F4607">
        <w:rPr>
          <w:rFonts w:ascii="Times New Roman" w:hAnsi="Times New Roman" w:cs="Times New Roman"/>
          <w:bCs/>
          <w:sz w:val="28"/>
          <w:szCs w:val="28"/>
        </w:rPr>
        <w:t>3. Порядок проведения отбора муниципальных образований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для предоставления субсидии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21"/>
      <w:bookmarkEnd w:id="2"/>
      <w:r w:rsidRPr="006F4607">
        <w:rPr>
          <w:rFonts w:ascii="Times New Roman" w:hAnsi="Times New Roman" w:cs="Times New Roman"/>
          <w:bCs/>
          <w:sz w:val="28"/>
          <w:szCs w:val="28"/>
        </w:rPr>
        <w:t>3.1. Отбор муниципальных образований для предоставления субсидии производится на основе следующих критериев: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наличие в муниципальном образовании утвержденного перечня мероприятий;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реализация мероприятий, включенных в заявку (планируется в течение одного финансового года).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В отборе участвуют все муниципальные образования, соответствующие установленным настоящим пунктом критериям.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Par25"/>
      <w:bookmarkEnd w:id="3"/>
      <w:r w:rsidRPr="006F4607">
        <w:rPr>
          <w:rFonts w:ascii="Times New Roman" w:hAnsi="Times New Roman" w:cs="Times New Roman"/>
          <w:bCs/>
          <w:sz w:val="28"/>
          <w:szCs w:val="28"/>
        </w:rPr>
        <w:lastRenderedPageBreak/>
        <w:t>3.2. Прием заявок начинается со дня извещения Комитетом в письменной форме муниципальных образований о сроке приема заявок.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Par26"/>
      <w:bookmarkEnd w:id="4"/>
      <w:r w:rsidRPr="006F4607">
        <w:rPr>
          <w:rFonts w:ascii="Times New Roman" w:hAnsi="Times New Roman" w:cs="Times New Roman"/>
          <w:bCs/>
          <w:sz w:val="28"/>
          <w:szCs w:val="28"/>
        </w:rPr>
        <w:t>3.3. Для участия в отборе на предоставление субсидии органы местного самоуправления поселений Ленинградской области представляют в администрацию соответствующего муниципального района Ленинградской области (далее - муниципальный район) заявку с приложением следующих документов: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перечня мероприятий, утвержденного главой администрации муниципального образования, по форме, установленной правовым актом Комитета, сформированного на основании обращений граждан, депутатов Законодательного собрания Ленинградской области (далее - перечень мероприятий). Перечень мероприятий должен включать информацию о планируемом распределении средств с указанием объема средств по каждому мероприятию, наименования муниципальных учреждений, целей (показателей), срока реализации;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гарантийного письма муниципального образования о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софинансировании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мероприятия в размере доли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на соответствующий финансовый год, установленной распоряжением Правительства Ленинградской области;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письма об отсутствии просроченной задолженности по выплате заработной платы работникам муниципальных учреждений муниципального образования на дату подачи заявки.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3.3.1. Муниципальный район на основании заявок муниципальных образований на предоставление субсидии формирует сводную заявку, включающую сведения по муниципальным образованиям, входящим в состав муниципального района, и направляет пакет документов, указанных в </w:t>
      </w:r>
      <w:hyperlink w:anchor="Par26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пункте 3.3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в Комитет в срок, определяемый в соответствии с </w:t>
      </w:r>
      <w:hyperlink w:anchor="Par25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пунктом 3.2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3.3.2. Городской округ представляет в Комитет заявку с приложением документов, указанных в </w:t>
      </w:r>
      <w:hyperlink w:anchor="Par26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пункте 3.3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в срок, определяемый в соответствии с </w:t>
      </w:r>
      <w:hyperlink w:anchor="Par25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пунктом 3.2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3.4. Рассмотрение заявок на наличие оснований для их отклонения осуществляется Комитетом на этапе приема заявок.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3.5. Основаниями для отклонения заявки являются: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представление заявки в Комитет позднее срока, определяемого в соответствии с </w:t>
      </w:r>
      <w:hyperlink w:anchor="Par25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пунктом 3.2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Порядка;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несоответствие документов требованиям, установленным </w:t>
      </w:r>
      <w:hyperlink w:anchor="Par26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пунктом 3.3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3.6. В случае отсутствия оснований для отклонения заявки Комитет осуществляет отбор муниципальных образований, соответствующих критериям отбора, установленным </w:t>
      </w:r>
      <w:hyperlink w:anchor="Par21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пунктом 3.1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и не позднее 15 октября года проведения отбора для предоставления субсидии принимает решение о результатах отбора.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3.7. Дополнительный отбор осуществляется в соответствии с требованиями </w:t>
      </w:r>
      <w:hyperlink w:anchor="Par18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раздела 3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4. Методика распределения субсидии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lastRenderedPageBreak/>
        <w:t>4.1. Распределение общего объема субсидии между муниципальными образованиями на очередной (текущий) финансовый год осуществляется исходя из расчетного объема средств, необходимого для достижения значений результатов использования субсидии, и рассчитывается по формуле: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6F4607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proofErr w:type="gram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РОСi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УСi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>,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РОС</w:t>
      </w:r>
      <w:proofErr w:type="gramStart"/>
      <w:r w:rsidRPr="006F4607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proofErr w:type="gram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- расчетный объем расходов, необходимый для достижения значений результатов использования субсидии i-м муниципальным образованием;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УС</w:t>
      </w:r>
      <w:proofErr w:type="gramStart"/>
      <w:r w:rsidRPr="006F4607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proofErr w:type="gram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- предельный уровень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для i-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4.2. Расчетный объем расходов, необходимый для достижения значений результатов использования субсидии i-м муниципальным образованием, определяется по формуле: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5" w:name="_GoBack"/>
      <w:bookmarkEnd w:id="5"/>
      <w:r w:rsidRPr="006F4607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drawing>
          <wp:inline distT="0" distB="0" distL="0" distR="0" wp14:anchorId="1817D818" wp14:editId="65C9DD25">
            <wp:extent cx="1478915" cy="357505"/>
            <wp:effectExtent l="0" t="0" r="698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ЦП</w:t>
      </w:r>
      <w:proofErr w:type="gramStart"/>
      <w:r w:rsidRPr="006F4607">
        <w:rPr>
          <w:rFonts w:ascii="Times New Roman" w:hAnsi="Times New Roman" w:cs="Times New Roman"/>
          <w:bCs/>
          <w:sz w:val="28"/>
          <w:szCs w:val="28"/>
          <w:vertAlign w:val="subscript"/>
        </w:rPr>
        <w:t>ij</w:t>
      </w:r>
      <w:proofErr w:type="spellEnd"/>
      <w:proofErr w:type="gram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- стоимость реализации мероприятия.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4.3. Распределение субсидии между муниципальными образованиями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4.4. Распределение субсидии утверждается в пределах бюджетных ассигнований, предусмотренных Комитету областным законом об областном бюджете Ленинградской области на очередной (текущий) финансовый год и на плановый период.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4.5. Утверждение не распределенного между муниципальными образованиями объема субсидии на очередной (текущий) финансовый год не допускается.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" w:name="Par59"/>
      <w:bookmarkEnd w:id="6"/>
      <w:r w:rsidRPr="006F4607">
        <w:rPr>
          <w:rFonts w:ascii="Times New Roman" w:hAnsi="Times New Roman" w:cs="Times New Roman"/>
          <w:bCs/>
          <w:sz w:val="28"/>
          <w:szCs w:val="28"/>
        </w:rPr>
        <w:t>4.6. Изменения в утвержденное распределение субсидии вносятся: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Par60"/>
      <w:bookmarkEnd w:id="7"/>
      <w:r w:rsidRPr="006F4607">
        <w:rPr>
          <w:rFonts w:ascii="Times New Roman" w:hAnsi="Times New Roman" w:cs="Times New Roman"/>
          <w:bCs/>
          <w:sz w:val="28"/>
          <w:szCs w:val="28"/>
        </w:rPr>
        <w:t>а) при уточнении расчетного объема расходов, необходимого для достижения значений целевых показателей;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8" w:name="Par61"/>
      <w:bookmarkEnd w:id="8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б) при уточнении планового объема расходов на исполнение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софинансируемых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обязательств по итогам заключения муниципальных контрактов (договоров) на поставку товаров, выполнение работ, оказание услуг;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в) при увеличении общего объема бюджетных ассигнований областного бюджета, предусмотренного для предоставления субсидии;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г) при распределении нераспределенного объема субсидии.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4.7. В случаях, указанных в </w:t>
      </w:r>
      <w:hyperlink w:anchor="Par60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подпунктах "а"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и </w:t>
      </w:r>
      <w:hyperlink w:anchor="Par61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"б" пункта 4.6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не позднее 30 календарных дней после утверждения изменений в распределение субсидии в рамках внесения очередных изменений в областной закон об областном бюджете Ленинградской области на текущий финансовый год и на плановый период заключаются дополнительные соглашения.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4.8. В случаях, указанных в </w:t>
      </w:r>
      <w:hyperlink w:anchor="Par61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подпункте "б" пункта 4.6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Комитет проводит дополнительный отбор в соответствии с настоящим Порядком.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5. Порядок предоставления и перечисления субсидии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5.1. Предоставление субсидии осуществляется на основании соглашения, заключаемого в информационной системе "Управление бюджетным процессом Ленинградской области" по типовой форме, утвержденной правовым актом Комитета, в соответствии с требованиями </w:t>
      </w:r>
      <w:hyperlink r:id="rId9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пунктов 4.1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- </w:t>
      </w:r>
      <w:hyperlink r:id="rId10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4.4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Соглашение заключается на основании утвержденного областным законом об областном бюджете Ленинградской области на очередной (текущий) финансовый год и на плановый период распределения субсидии между муниципальными образованиями.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5.2. </w:t>
      </w:r>
      <w:proofErr w:type="gramStart"/>
      <w:r w:rsidRPr="006F4607">
        <w:rPr>
          <w:rFonts w:ascii="Times New Roman" w:hAnsi="Times New Roman" w:cs="Times New Roman"/>
          <w:bCs/>
          <w:sz w:val="28"/>
          <w:szCs w:val="28"/>
        </w:rPr>
        <w:t>При включении муниципального образования в перечень получателей субсидии в связи с увеличением объема бюджетных ассигнований областного бюджета на предоставление</w:t>
      </w:r>
      <w:proofErr w:type="gram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субсидии, а также при изменении утвержденного для муниципального образования объема субсидии соглашение (дополнительное соглашение) заключается не позднее 30 календарных дней после утверждения изменений в распределение субсидии.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5.3. При заключении соглашения муниципальные образования представляют в Комитет, а также прикрепляют к соглашению, заключаемому в информационной системе "Управление бюджетным процессом Ленинградской области", следующие документы: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выписку из бюджета муниципального образования (выписку из сводной бюджетной росписи бюджета муниципального образования), подтверждающую наличие в бюджете муниципального образования (сводной бюджетной росписи муниципального образования) бюджетных ассигнований на исполнение расходных обязательств муниципального образования, в целях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которых предоставляется субсидия, в объеме, необходимом для его исполнения, включая размер планируемой к предоставлению из областного бюджета субсидии, за подписью главы администрации муниципального образования и</w:t>
      </w:r>
      <w:proofErr w:type="gram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руководителя финансового органа муниципального образования;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муниципальные программы (проекты муниципальных программ), предусматривающие мероприятия, на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которых предоставляется субсидия;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правовой акт муниципального образования, утверждающий перечень реализуемых мероприятий, в целях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которых предоставляется субсидия.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5.4. Перечисление субсидии осуществляется Комитетом в установленном порядке на единый счет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5.5. При перечислении субсидии исходя из потребности в оплате денежных обязательств по расходам муниципального образования, источником финансового обеспечения которых являются субсидии, муниципальное образование посредством использования информационной системы "Управление бюджетным процессом Ленинградской области" представляет главному распорядителю бюджетных сре</w:t>
      </w:r>
      <w:proofErr w:type="gramStart"/>
      <w:r w:rsidRPr="006F4607">
        <w:rPr>
          <w:rFonts w:ascii="Times New Roman" w:hAnsi="Times New Roman" w:cs="Times New Roman"/>
          <w:bCs/>
          <w:sz w:val="28"/>
          <w:szCs w:val="28"/>
        </w:rPr>
        <w:t>дств пл</w:t>
      </w:r>
      <w:proofErr w:type="gramEnd"/>
      <w:r w:rsidRPr="006F4607">
        <w:rPr>
          <w:rFonts w:ascii="Times New Roman" w:hAnsi="Times New Roman" w:cs="Times New Roman"/>
          <w:bCs/>
          <w:sz w:val="28"/>
          <w:szCs w:val="28"/>
        </w:rPr>
        <w:t>атежный документ с одновременным представлением документов, подтверждающих потребность в осуществлении расходов.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lastRenderedPageBreak/>
        <w:t>Перечисление субсидии на поддержку развития общественной инфраструктуры муниципального значения из областного бюджета местному бюджету осуществляется главным распорядителем бюджетных средств по представлению муниципальным образованием копий заключенных контрактов (договоров), соглашений с муниципальными бюджетными (автономными) учреждениями.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5.6. 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седьмого рабочего дня </w:t>
      </w:r>
      <w:proofErr w:type="gramStart"/>
      <w:r w:rsidRPr="006F4607">
        <w:rPr>
          <w:rFonts w:ascii="Times New Roman" w:hAnsi="Times New Roman" w:cs="Times New Roman"/>
          <w:bCs/>
          <w:sz w:val="28"/>
          <w:szCs w:val="28"/>
        </w:rPr>
        <w:t>с даты поступления</w:t>
      </w:r>
      <w:proofErr w:type="gram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оформленного надлежащим образом платежного документа.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5.7. В течение текущего финансового года муниципальное образование при поступлении обращений граждан, депутатов Законодательного собрания Ленинградской области вправе внести изменения в правовой акт муниципального образования, утверждающий перечень реализуемых мероприятий, в целях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которых предоставляется субсидия. Указанные изменения не должны влиять на объем финансирования по соответствующим муниципальным образованиям, за исключением случаев, указанных в </w:t>
      </w:r>
      <w:hyperlink w:anchor="Par59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пункте 4.6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Муниципальное образование посредством системы электронного документооборота Ленинградской области представляет в Комитет правовой акт муниципального образования о внесении изменений в перечень реализуемых мероприятий, в целях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которых предоставляется субсидия, а также пояснительную записку с указанием номера мероприятия, по которому вносятся изменения, а также причины внесения изменений. Одновременно с направлением указанных документов в Комитет муниципальное образование прикрепляет документы к соглашению, заключенному в информационной системе "Управление бюджетным процессом Ленинградской области".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При несоответствии указанным требованиям Комитет информирует муниципальное образование о выявленных нарушениях.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5.8. Субсидии, не использованные в текущем финансовом году, подлежат возврату в областной бюджет в порядке и в сроки, установленные правовым актом Комитета.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5.9. Принятие решения о подтверждении потребности в текущем финансовом году в остатках субсидии, предоставленной в отчетном году, допускается однократно в течение срока действия соглашения.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5.10. </w:t>
      </w:r>
      <w:proofErr w:type="gramStart"/>
      <w:r w:rsidRPr="006F4607">
        <w:rPr>
          <w:rFonts w:ascii="Times New Roman" w:hAnsi="Times New Roman" w:cs="Times New Roman"/>
          <w:bCs/>
          <w:sz w:val="28"/>
          <w:szCs w:val="28"/>
        </w:rPr>
        <w:t>Муниципальные образования ежеквартально не позднее 10-го числа месяца, следующего за отчетным кварталом, по итогам года - до 13 января года, следующего за отчетным, представляют в Комитет отчет о расходах бюджета муниципального образования, источником финансового обеспечения которых является субсидия, и о достижении значений результатов использования субсидии в электронном виде с использованием квалифицированной электронной подписи в программном комплексе "Свод-Смарт".</w:t>
      </w:r>
      <w:proofErr w:type="gramEnd"/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При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неосвоении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средств субсидии за отчетный период в примечаниях к отчету муниципальными образованиями указываются причины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неосвоения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>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lastRenderedPageBreak/>
        <w:t>5.11. Ответственность за достоверность представляемых в Комитет сведений и целевое использование средств субсидии несет администрация муниципального образования в соответствии с заключенным соглашением, федеральным законодательством и областным законодательством.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5.12. Обеспечение соблюдения муниципальными образованиями целей, порядка и условий предоставления субсидии (в том числе достижения значений результатов использования субсидии) осуществляется главными распорядителями бюджетных сре</w:t>
      </w:r>
      <w:proofErr w:type="gramStart"/>
      <w:r w:rsidRPr="006F4607">
        <w:rPr>
          <w:rFonts w:ascii="Times New Roman" w:hAnsi="Times New Roman" w:cs="Times New Roman"/>
          <w:bCs/>
          <w:sz w:val="28"/>
          <w:szCs w:val="28"/>
        </w:rPr>
        <w:t>дств в с</w:t>
      </w:r>
      <w:proofErr w:type="gramEnd"/>
      <w:r w:rsidRPr="006F4607">
        <w:rPr>
          <w:rFonts w:ascii="Times New Roman" w:hAnsi="Times New Roman" w:cs="Times New Roman"/>
          <w:bCs/>
          <w:sz w:val="28"/>
          <w:szCs w:val="28"/>
        </w:rPr>
        <w:t>оответствии с бюджетным законодательством Российской Федерации.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F4607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соблюдением целей, порядка и условий предоставления субсидий, а также за соблюдением условий соглашений об их предоставлении и условий контрактов (договоров, соглашений), источником финансового обеспечения которых являются субсидии,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6F4607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>5.13. Средства субсидии, использованные муниципальным образованием не по целевому назначению, подлежат возврату в областной бюджет не позднее 30 календарных дней с момента выявления нарушений.</w:t>
      </w:r>
    </w:p>
    <w:p w:rsidR="007138CD" w:rsidRPr="006F4607" w:rsidRDefault="006F4607" w:rsidP="006F4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4607">
        <w:rPr>
          <w:rFonts w:ascii="Times New Roman" w:hAnsi="Times New Roman" w:cs="Times New Roman"/>
          <w:bCs/>
          <w:sz w:val="28"/>
          <w:szCs w:val="28"/>
        </w:rPr>
        <w:t xml:space="preserve">5.14. В случае </w:t>
      </w:r>
      <w:proofErr w:type="spellStart"/>
      <w:r w:rsidRPr="006F4607">
        <w:rPr>
          <w:rFonts w:ascii="Times New Roman" w:hAnsi="Times New Roman" w:cs="Times New Roman"/>
          <w:bCs/>
          <w:sz w:val="28"/>
          <w:szCs w:val="28"/>
        </w:rPr>
        <w:t>недостижения</w:t>
      </w:r>
      <w:proofErr w:type="spellEnd"/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муниципальным образованием значений целевого показателя к муниципальному образованию применяются меры ответственности, предусмотренные </w:t>
      </w:r>
      <w:hyperlink r:id="rId11" w:history="1">
        <w:r w:rsidRPr="006F4607">
          <w:rPr>
            <w:rFonts w:ascii="Times New Roman" w:hAnsi="Times New Roman" w:cs="Times New Roman"/>
            <w:bCs/>
            <w:sz w:val="28"/>
            <w:szCs w:val="28"/>
          </w:rPr>
          <w:t>пунктом 5.1</w:t>
        </w:r>
      </w:hyperlink>
      <w:r w:rsidRPr="006F4607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sectPr w:rsidR="007138CD" w:rsidRPr="006F4607" w:rsidSect="009D4E57">
      <w:pgSz w:w="11905" w:h="16838"/>
      <w:pgMar w:top="1134" w:right="567" w:bottom="113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CD"/>
    <w:rsid w:val="00126C32"/>
    <w:rsid w:val="006F4607"/>
    <w:rsid w:val="007138CD"/>
    <w:rsid w:val="009665EA"/>
    <w:rsid w:val="009D4E57"/>
    <w:rsid w:val="00DF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C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138C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138C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7138C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138C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7138C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138C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138C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8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C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138C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138C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7138C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138C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7138C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138C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138C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8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SPB&amp;n=282998&amp;dst=10044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062&amp;dst=101356" TargetMode="External"/><Relationship Id="rId11" Type="http://schemas.openxmlformats.org/officeDocument/2006/relationships/hyperlink" Target="https://login.consultant.ru/link/?req=doc&amp;base=SPB&amp;n=282998&amp;dst=100548" TargetMode="External"/><Relationship Id="rId5" Type="http://schemas.openxmlformats.org/officeDocument/2006/relationships/hyperlink" Target="https://login.consultant.ru/link/?req=doc&amp;base=LAW&amp;n=483062&amp;dst=425" TargetMode="External"/><Relationship Id="rId10" Type="http://schemas.openxmlformats.org/officeDocument/2006/relationships/hyperlink" Target="https://login.consultant.ru/link/?req=doc&amp;base=SPB&amp;n=282998&amp;dst=1005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82998&amp;dst=100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2675</Words>
  <Characters>15249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Андреевна Иванова</dc:creator>
  <cp:lastModifiedBy>Старостина Рузанна Левоновна</cp:lastModifiedBy>
  <cp:revision>5</cp:revision>
  <dcterms:created xsi:type="dcterms:W3CDTF">2022-08-19T07:57:00Z</dcterms:created>
  <dcterms:modified xsi:type="dcterms:W3CDTF">2024-08-26T14:04:00Z</dcterms:modified>
</cp:coreProperties>
</file>